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60" w:rsidRPr="00CD7960" w:rsidRDefault="00CD7960" w:rsidP="005720B0">
      <w:pPr>
        <w:jc w:val="center"/>
        <w:rPr>
          <w:rStyle w:val="Heading1Char"/>
          <w:rFonts w:asciiTheme="minorHAnsi" w:hAnsiTheme="minorHAnsi"/>
          <w:color w:val="FF0000"/>
          <w:sz w:val="24"/>
          <w:szCs w:val="24"/>
        </w:rPr>
      </w:pPr>
      <w:r w:rsidRPr="00CD7960">
        <w:rPr>
          <w:rStyle w:val="Heading1Char"/>
          <w:rFonts w:asciiTheme="minorHAnsi" w:hAnsiTheme="minorHAnsi"/>
          <w:color w:val="FF0000"/>
          <w:sz w:val="24"/>
          <w:szCs w:val="24"/>
        </w:rPr>
        <w:t>[Template for action plan and follow up</w:t>
      </w:r>
      <w:r w:rsidR="008C10FE">
        <w:rPr>
          <w:rStyle w:val="Heading1Char"/>
          <w:rFonts w:asciiTheme="minorHAnsi" w:hAnsiTheme="minorHAnsi"/>
          <w:color w:val="FF0000"/>
          <w:sz w:val="24"/>
          <w:szCs w:val="24"/>
        </w:rPr>
        <w:t xml:space="preserve"> on the</w:t>
      </w:r>
      <w:r w:rsidRPr="00CD7960">
        <w:rPr>
          <w:rStyle w:val="Heading1Char"/>
          <w:rFonts w:asciiTheme="minorHAnsi" w:hAnsiTheme="minorHAnsi"/>
          <w:color w:val="FF0000"/>
          <w:sz w:val="24"/>
          <w:szCs w:val="24"/>
        </w:rPr>
        <w:t xml:space="preserve"> implementation </w:t>
      </w:r>
      <w:r w:rsidR="008C10FE">
        <w:rPr>
          <w:rStyle w:val="Heading1Char"/>
          <w:rFonts w:asciiTheme="minorHAnsi" w:hAnsiTheme="minorHAnsi"/>
          <w:color w:val="FF0000"/>
          <w:sz w:val="24"/>
          <w:szCs w:val="24"/>
        </w:rPr>
        <w:t>of recommendations</w:t>
      </w:r>
      <w:r w:rsidRPr="00CD7960">
        <w:rPr>
          <w:rStyle w:val="Heading1Char"/>
          <w:rFonts w:asciiTheme="minorHAnsi" w:hAnsiTheme="minorHAnsi"/>
          <w:color w:val="FF0000"/>
          <w:sz w:val="24"/>
          <w:szCs w:val="24"/>
        </w:rPr>
        <w:t xml:space="preserve">] </w:t>
      </w:r>
    </w:p>
    <w:p w:rsidR="00CD7960" w:rsidRDefault="00CD7960" w:rsidP="00A9398B">
      <w:pPr>
        <w:spacing w:after="120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5720B0" w:rsidRPr="00EF6020" w:rsidRDefault="005720B0" w:rsidP="00EF5872">
      <w:pPr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EF6020">
        <w:rPr>
          <w:rStyle w:val="Heading1Char"/>
          <w:rFonts w:asciiTheme="minorHAnsi" w:hAnsiTheme="minorHAnsi"/>
          <w:color w:val="auto"/>
          <w:sz w:val="24"/>
          <w:szCs w:val="24"/>
        </w:rPr>
        <w:t>ACTION PLAN</w:t>
      </w:r>
      <w:r w:rsidR="008C10FE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incl.</w:t>
      </w:r>
      <w:r w:rsidR="00E66A5B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possible </w:t>
      </w:r>
      <w:r w:rsidR="00561676">
        <w:rPr>
          <w:rStyle w:val="Heading1Char"/>
          <w:rFonts w:asciiTheme="minorHAnsi" w:hAnsiTheme="minorHAnsi"/>
          <w:color w:val="auto"/>
          <w:sz w:val="24"/>
          <w:szCs w:val="24"/>
        </w:rPr>
        <w:t>ASSESSMENT</w:t>
      </w:r>
      <w:r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EF6020"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to </w:t>
      </w:r>
      <w:r w:rsidR="00EF5872">
        <w:rPr>
          <w:rStyle w:val="Heading1Char"/>
          <w:rFonts w:asciiTheme="minorHAnsi" w:hAnsiTheme="minorHAnsi"/>
          <w:color w:val="auto"/>
          <w:sz w:val="24"/>
          <w:szCs w:val="24"/>
        </w:rPr>
        <w:t>follow up on the recommendations resulting from</w:t>
      </w:r>
      <w:r w:rsidR="00EF6020"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the </w:t>
      </w:r>
      <w:r w:rsidR="00DE4846">
        <w:rPr>
          <w:rStyle w:val="Heading1Char"/>
          <w:rFonts w:asciiTheme="minorHAnsi" w:hAnsiTheme="minorHAnsi"/>
          <w:color w:val="auto"/>
          <w:sz w:val="24"/>
          <w:szCs w:val="24"/>
        </w:rPr>
        <w:t>[year]</w:t>
      </w:r>
      <w:r w:rsidR="00DE4846"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EF6020"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evaluation </w:t>
      </w:r>
      <w:r w:rsidR="00DE4846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of [MS] on the application of the Schengen acquis in the field of [policy field] </w:t>
      </w:r>
      <w:r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206384">
        <w:rPr>
          <w:rStyle w:val="Heading1Char"/>
          <w:rFonts w:asciiTheme="minorHAnsi" w:hAnsiTheme="minorHAnsi"/>
          <w:color w:val="auto"/>
          <w:sz w:val="24"/>
          <w:szCs w:val="24"/>
        </w:rPr>
        <w:t>[announced/unannounced/revisit]</w:t>
      </w:r>
    </w:p>
    <w:p w:rsidR="00BD2D2A" w:rsidRPr="00EF6020" w:rsidRDefault="005720B0" w:rsidP="005720B0">
      <w:pPr>
        <w:pStyle w:val="NoSpacing"/>
        <w:jc w:val="center"/>
        <w:rPr>
          <w:sz w:val="24"/>
          <w:szCs w:val="24"/>
        </w:rPr>
      </w:pPr>
      <w:r w:rsidRPr="00EF6020">
        <w:rPr>
          <w:sz w:val="24"/>
          <w:szCs w:val="24"/>
        </w:rPr>
        <w:t>(Article 16 of Regulation 1053/2013)</w:t>
      </w:r>
    </w:p>
    <w:p w:rsidR="005720B0" w:rsidRPr="00EF6020" w:rsidRDefault="005720B0" w:rsidP="005720B0">
      <w:pPr>
        <w:pStyle w:val="NoSpacing"/>
        <w:rPr>
          <w:sz w:val="24"/>
          <w:szCs w:val="24"/>
        </w:rPr>
      </w:pPr>
    </w:p>
    <w:p w:rsidR="007776DA" w:rsidRDefault="007776DA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Day/Month/Year</w:t>
      </w:r>
    </w:p>
    <w:p w:rsidR="005720B0" w:rsidRPr="00EF6020" w:rsidRDefault="003E1B48">
      <w:pPr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I</w:t>
      </w:r>
      <w:r w:rsidR="00EF6020" w:rsidRPr="00EF6020"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. </w:t>
      </w:r>
      <w:r w:rsidR="00EE1B38">
        <w:rPr>
          <w:rStyle w:val="Heading1Char"/>
          <w:rFonts w:asciiTheme="minorHAnsi" w:hAnsiTheme="minorHAnsi"/>
          <w:color w:val="auto"/>
          <w:sz w:val="24"/>
          <w:szCs w:val="24"/>
        </w:rPr>
        <w:t>[policy field evaluated]</w:t>
      </w:r>
    </w:p>
    <w:p w:rsidR="00EF6020" w:rsidRPr="00EF6020" w:rsidRDefault="00EF6020" w:rsidP="00EF5872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EF602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 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doc</w:t>
      </w:r>
      <w:r w:rsidR="00EF5872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...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42821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(evaluation report)</w:t>
      </w:r>
    </w:p>
    <w:p w:rsidR="00EF6020" w:rsidRDefault="00EF6020" w:rsidP="00EF5872">
      <w:pP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EF602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- 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doc… (Council</w:t>
      </w:r>
      <w:r w:rsidR="00442821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recommendations)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2988"/>
        <w:gridCol w:w="1560"/>
        <w:gridCol w:w="4800"/>
        <w:gridCol w:w="1800"/>
        <w:gridCol w:w="1800"/>
        <w:gridCol w:w="1920"/>
      </w:tblGrid>
      <w:tr w:rsidR="00E41924" w:rsidTr="00A9398B">
        <w:tc>
          <w:tcPr>
            <w:tcW w:w="2988" w:type="dxa"/>
          </w:tcPr>
          <w:p w:rsidR="001C611B" w:rsidRDefault="001C611B" w:rsidP="00442821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RECOMMENDATION</w:t>
            </w:r>
          </w:p>
        </w:tc>
        <w:tc>
          <w:tcPr>
            <w:tcW w:w="1560" w:type="dxa"/>
          </w:tcPr>
          <w:p w:rsidR="001C611B" w:rsidRPr="00442821" w:rsidRDefault="001C611B" w:rsidP="005C7D21">
            <w:pPr>
              <w:jc w:val="center"/>
              <w:rPr>
                <w:b/>
                <w:sz w:val="24"/>
                <w:szCs w:val="24"/>
              </w:rPr>
            </w:pPr>
            <w:r w:rsidRPr="00442821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RIORITISED RECOM YES/NO</w:t>
            </w:r>
            <w:r w:rsidR="005C7D21" w:rsidRPr="005C7D2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00" w:type="dxa"/>
          </w:tcPr>
          <w:p w:rsidR="001C611B" w:rsidRPr="005C7D21" w:rsidRDefault="001C611B" w:rsidP="00E45820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  <w:vertAlign w:val="superscript"/>
              </w:rPr>
            </w:pPr>
            <w:r w:rsidRPr="00442821">
              <w:rPr>
                <w:b/>
                <w:sz w:val="24"/>
                <w:szCs w:val="24"/>
              </w:rPr>
              <w:t>PLANNED ACTION</w:t>
            </w:r>
            <w:r>
              <w:rPr>
                <w:b/>
                <w:sz w:val="24"/>
                <w:szCs w:val="24"/>
              </w:rPr>
              <w:t xml:space="preserve"> and/or POSSIBLE ASSESSMENT</w:t>
            </w:r>
            <w:r w:rsidRPr="00442821">
              <w:rPr>
                <w:b/>
                <w:sz w:val="24"/>
                <w:szCs w:val="24"/>
              </w:rPr>
              <w:t xml:space="preserve"> BY [MS]</w:t>
            </w:r>
            <w:r w:rsidR="005C7D21" w:rsidRPr="005C7D21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82413D" w:rsidRPr="00442821" w:rsidRDefault="001D1439" w:rsidP="001D1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ON THE PROGRESS</w:t>
            </w:r>
          </w:p>
        </w:tc>
        <w:tc>
          <w:tcPr>
            <w:tcW w:w="1800" w:type="dxa"/>
          </w:tcPr>
          <w:p w:rsidR="001C611B" w:rsidRPr="00442821" w:rsidRDefault="001C6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AUTHORITY</w:t>
            </w:r>
          </w:p>
        </w:tc>
        <w:tc>
          <w:tcPr>
            <w:tcW w:w="1800" w:type="dxa"/>
          </w:tcPr>
          <w:p w:rsidR="001C611B" w:rsidRDefault="00E45820" w:rsidP="005C7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FINANCING and USE OF FUNDS</w:t>
            </w:r>
            <w:r w:rsidR="005C7D21" w:rsidRPr="005C7D2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0" w:type="dxa"/>
          </w:tcPr>
          <w:p w:rsidR="001C611B" w:rsidRPr="00442821" w:rsidRDefault="001C611B" w:rsidP="001D1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OF PLAY and</w:t>
            </w:r>
            <w:r w:rsidRPr="00442821">
              <w:rPr>
                <w:b/>
                <w:sz w:val="24"/>
                <w:szCs w:val="24"/>
              </w:rPr>
              <w:t xml:space="preserve"> TIME-FRAME</w:t>
            </w:r>
            <w:r>
              <w:rPr>
                <w:b/>
                <w:sz w:val="24"/>
                <w:szCs w:val="24"/>
              </w:rPr>
              <w:t xml:space="preserve"> for </w:t>
            </w:r>
            <w:r w:rsidR="001D1439">
              <w:rPr>
                <w:b/>
                <w:sz w:val="24"/>
                <w:szCs w:val="24"/>
              </w:rPr>
              <w:t>implementation</w:t>
            </w:r>
          </w:p>
        </w:tc>
      </w:tr>
      <w:tr w:rsidR="00A9398B" w:rsidTr="00A9398B">
        <w:tc>
          <w:tcPr>
            <w:tcW w:w="2988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9398B" w:rsidRDefault="00A9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Default="00A9398B">
            <w:pPr>
              <w:rPr>
                <w:sz w:val="24"/>
                <w:szCs w:val="24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1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  <w:r w:rsidR="005C7D21" w:rsidRPr="005C7D21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Default="00A9398B">
            <w:pPr>
              <w:rPr>
                <w:sz w:val="24"/>
                <w:szCs w:val="24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2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nd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Pr="00CD16F3" w:rsidRDefault="00A9398B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etc.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9398B" w:rsidRDefault="00A9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Pr="00CD16F3" w:rsidRDefault="00A9398B" w:rsidP="002169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1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Pr="00CD16F3" w:rsidRDefault="00A9398B" w:rsidP="00F53BF9">
            <w:pPr>
              <w:jc w:val="both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2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nd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9398B" w:rsidRPr="00CD16F3" w:rsidRDefault="00A9398B">
            <w:pPr>
              <w:rPr>
                <w:rFonts w:cstheme="minorHAnsi"/>
                <w:sz w:val="24"/>
                <w:szCs w:val="24"/>
              </w:rPr>
            </w:pPr>
            <w:r w:rsidRPr="00CD16F3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Pr="00CD16F3" w:rsidRDefault="00A9398B" w:rsidP="002169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1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  <w:tr w:rsidR="00A9398B" w:rsidTr="00A9398B">
        <w:tc>
          <w:tcPr>
            <w:tcW w:w="2988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DBE5F1" w:themeFill="accent1" w:themeFillTint="33"/>
          </w:tcPr>
          <w:p w:rsidR="00A9398B" w:rsidRPr="00CD16F3" w:rsidRDefault="00A9398B">
            <w:pPr>
              <w:rPr>
                <w:rFonts w:cstheme="minorHAnsi"/>
                <w:sz w:val="24"/>
                <w:szCs w:val="24"/>
              </w:rPr>
            </w:pP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2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vertAlign w:val="superscript"/>
                <w:lang w:val="en-US"/>
              </w:rPr>
              <w:t>nd</w:t>
            </w:r>
            <w:r w:rsidRPr="00CD16F3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PROGRESS REPORT XX/XX/XXXX:</w:t>
            </w: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9398B" w:rsidRDefault="00A9398B">
            <w:pPr>
              <w:rPr>
                <w:sz w:val="24"/>
                <w:szCs w:val="24"/>
              </w:rPr>
            </w:pPr>
          </w:p>
        </w:tc>
      </w:tr>
    </w:tbl>
    <w:p w:rsidR="007776DA" w:rsidRDefault="005C7D21" w:rsidP="00124AF2">
      <w:pPr>
        <w:spacing w:after="0"/>
        <w:jc w:val="both"/>
        <w:rPr>
          <w:sz w:val="24"/>
          <w:szCs w:val="24"/>
        </w:rPr>
      </w:pPr>
      <w:r w:rsidRPr="005C7D21">
        <w:rPr>
          <w:b/>
          <w:sz w:val="32"/>
          <w:szCs w:val="32"/>
          <w:vertAlign w:val="superscript"/>
        </w:rPr>
        <w:lastRenderedPageBreak/>
        <w:t>1</w:t>
      </w:r>
      <w:r w:rsidR="007776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776DA">
        <w:rPr>
          <w:sz w:val="24"/>
          <w:szCs w:val="24"/>
        </w:rPr>
        <w:t>Indication if the recommendation is one of the prioritised recommendations as indicated in the recitals of the Council recommendation.</w:t>
      </w:r>
    </w:p>
    <w:p w:rsidR="008C10FE" w:rsidRDefault="005C7D21" w:rsidP="005C7D21">
      <w:pPr>
        <w:spacing w:after="0"/>
        <w:ind w:left="720" w:hanging="720"/>
        <w:jc w:val="both"/>
        <w:rPr>
          <w:sz w:val="24"/>
          <w:szCs w:val="24"/>
        </w:rPr>
      </w:pPr>
      <w:r w:rsidRPr="005C7D21">
        <w:rPr>
          <w:b/>
          <w:sz w:val="32"/>
          <w:szCs w:val="32"/>
          <w:vertAlign w:val="superscript"/>
        </w:rPr>
        <w:t>2</w:t>
      </w:r>
      <w:r w:rsidR="008C10F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C10FE">
        <w:rPr>
          <w:sz w:val="24"/>
          <w:szCs w:val="24"/>
        </w:rPr>
        <w:t xml:space="preserve">Description of precise actions </w:t>
      </w:r>
      <w:r w:rsidR="00561676">
        <w:rPr>
          <w:sz w:val="24"/>
          <w:szCs w:val="24"/>
        </w:rPr>
        <w:t xml:space="preserve">taken or </w:t>
      </w:r>
      <w:r w:rsidR="008C10FE">
        <w:rPr>
          <w:sz w:val="24"/>
          <w:szCs w:val="24"/>
        </w:rPr>
        <w:t>to be</w:t>
      </w:r>
      <w:r w:rsidR="00EF5872">
        <w:rPr>
          <w:sz w:val="24"/>
          <w:szCs w:val="24"/>
        </w:rPr>
        <w:t xml:space="preserve"> </w:t>
      </w:r>
      <w:r w:rsidR="008C10FE">
        <w:rPr>
          <w:sz w:val="24"/>
          <w:szCs w:val="24"/>
        </w:rPr>
        <w:t>taken</w:t>
      </w:r>
      <w:r w:rsidR="00EF5872">
        <w:rPr>
          <w:sz w:val="24"/>
          <w:szCs w:val="24"/>
        </w:rPr>
        <w:t xml:space="preserve"> </w:t>
      </w:r>
      <w:r w:rsidR="003B7263">
        <w:rPr>
          <w:sz w:val="24"/>
          <w:szCs w:val="24"/>
        </w:rPr>
        <w:t xml:space="preserve">in accordance with article 16(1) </w:t>
      </w:r>
      <w:r w:rsidR="00561676">
        <w:rPr>
          <w:sz w:val="24"/>
          <w:szCs w:val="24"/>
        </w:rPr>
        <w:t>and/</w:t>
      </w:r>
      <w:r w:rsidR="00EF5872">
        <w:rPr>
          <w:sz w:val="24"/>
          <w:szCs w:val="24"/>
        </w:rPr>
        <w:t xml:space="preserve">or </w:t>
      </w:r>
      <w:r w:rsidR="008C10FE">
        <w:rPr>
          <w:sz w:val="24"/>
          <w:szCs w:val="24"/>
        </w:rPr>
        <w:t>an assessment</w:t>
      </w:r>
      <w:r w:rsidR="00CD16F3">
        <w:rPr>
          <w:sz w:val="24"/>
          <w:szCs w:val="24"/>
        </w:rPr>
        <w:t xml:space="preserve"> </w:t>
      </w:r>
      <w:r w:rsidR="00502118">
        <w:rPr>
          <w:sz w:val="24"/>
          <w:szCs w:val="24"/>
        </w:rPr>
        <w:t>o</w:t>
      </w:r>
      <w:r w:rsidR="003B7263">
        <w:rPr>
          <w:sz w:val="24"/>
          <w:szCs w:val="24"/>
        </w:rPr>
        <w:t>f</w:t>
      </w:r>
      <w:r w:rsidR="00502118">
        <w:rPr>
          <w:sz w:val="24"/>
          <w:szCs w:val="24"/>
        </w:rPr>
        <w:t xml:space="preserve"> the implementation</w:t>
      </w:r>
      <w:r w:rsidR="00EF5872">
        <w:rPr>
          <w:sz w:val="24"/>
          <w:szCs w:val="24"/>
        </w:rPr>
        <w:t xml:space="preserve"> of suggested</w:t>
      </w:r>
      <w:r w:rsidR="00EF5872" w:rsidRPr="00EF5872">
        <w:rPr>
          <w:sz w:val="24"/>
          <w:szCs w:val="24"/>
        </w:rPr>
        <w:t xml:space="preserve"> </w:t>
      </w:r>
      <w:r w:rsidR="00EF5872">
        <w:rPr>
          <w:sz w:val="24"/>
          <w:szCs w:val="24"/>
        </w:rPr>
        <w:t>actions ("</w:t>
      </w:r>
      <w:r w:rsidR="00EF5872" w:rsidRPr="00502118">
        <w:rPr>
          <w:i/>
          <w:sz w:val="24"/>
          <w:szCs w:val="24"/>
        </w:rPr>
        <w:t>possible</w:t>
      </w:r>
      <w:r w:rsidR="00EF5872">
        <w:rPr>
          <w:sz w:val="24"/>
          <w:szCs w:val="24"/>
        </w:rPr>
        <w:t xml:space="preserve"> improvement")</w:t>
      </w:r>
      <w:r w:rsidR="003B7263">
        <w:rPr>
          <w:sz w:val="24"/>
          <w:szCs w:val="24"/>
        </w:rPr>
        <w:t xml:space="preserve"> in accordance with article 16(8) of Regulation </w:t>
      </w:r>
      <w:r w:rsidR="003B7263" w:rsidRPr="00EF6020">
        <w:rPr>
          <w:sz w:val="24"/>
          <w:szCs w:val="24"/>
        </w:rPr>
        <w:t>1053/2013</w:t>
      </w:r>
      <w:r w:rsidR="00502118">
        <w:rPr>
          <w:sz w:val="24"/>
          <w:szCs w:val="24"/>
        </w:rPr>
        <w:t>.</w:t>
      </w:r>
    </w:p>
    <w:p w:rsidR="003B7263" w:rsidRDefault="005C7D21" w:rsidP="005C7D21">
      <w:pPr>
        <w:spacing w:after="0"/>
        <w:ind w:left="720" w:hanging="720"/>
        <w:jc w:val="both"/>
        <w:rPr>
          <w:sz w:val="24"/>
          <w:szCs w:val="24"/>
        </w:rPr>
      </w:pPr>
      <w:r w:rsidRPr="005C7D21">
        <w:rPr>
          <w:b/>
          <w:sz w:val="32"/>
          <w:szCs w:val="32"/>
          <w:vertAlign w:val="superscript"/>
        </w:rPr>
        <w:t>3</w:t>
      </w:r>
      <w:r w:rsidR="003B7263" w:rsidRPr="005C7D21">
        <w:rPr>
          <w:sz w:val="32"/>
          <w:szCs w:val="32"/>
        </w:rPr>
        <w:t xml:space="preserve"> </w:t>
      </w:r>
      <w:r>
        <w:rPr>
          <w:sz w:val="24"/>
          <w:szCs w:val="24"/>
        </w:rPr>
        <w:tab/>
      </w:r>
      <w:r w:rsidR="003B7263">
        <w:rPr>
          <w:sz w:val="24"/>
          <w:szCs w:val="24"/>
        </w:rPr>
        <w:t>F</w:t>
      </w:r>
      <w:r w:rsidR="00216944">
        <w:rPr>
          <w:sz w:val="24"/>
          <w:szCs w:val="24"/>
        </w:rPr>
        <w:t>rom the first progress report onwards</w:t>
      </w:r>
      <w:r w:rsidR="00124AF2">
        <w:rPr>
          <w:sz w:val="24"/>
          <w:szCs w:val="24"/>
        </w:rPr>
        <w:t>,</w:t>
      </w:r>
      <w:r w:rsidR="00216944">
        <w:rPr>
          <w:sz w:val="24"/>
          <w:szCs w:val="24"/>
        </w:rPr>
        <w:t xml:space="preserve"> please introduce separate lines for updates and reactions</w:t>
      </w:r>
      <w:r w:rsidR="00124AF2">
        <w:rPr>
          <w:sz w:val="24"/>
          <w:szCs w:val="24"/>
        </w:rPr>
        <w:t xml:space="preserve"> to the Commission’s assessment</w:t>
      </w:r>
      <w:r w:rsidR="00216944">
        <w:rPr>
          <w:sz w:val="24"/>
          <w:szCs w:val="24"/>
        </w:rPr>
        <w:t xml:space="preserve">/ comments so that the changes could be clearly seen. </w:t>
      </w:r>
      <w:r w:rsidR="00216944" w:rsidRPr="00B67011">
        <w:rPr>
          <w:sz w:val="24"/>
          <w:szCs w:val="24"/>
        </w:rPr>
        <w:t xml:space="preserve">Please do not delete actions that were already </w:t>
      </w:r>
      <w:r w:rsidR="00B67011" w:rsidRPr="00B67011">
        <w:rPr>
          <w:sz w:val="24"/>
          <w:szCs w:val="24"/>
        </w:rPr>
        <w:t>considered</w:t>
      </w:r>
      <w:r w:rsidR="00216944" w:rsidRPr="00B67011">
        <w:rPr>
          <w:sz w:val="24"/>
          <w:szCs w:val="24"/>
        </w:rPr>
        <w:t xml:space="preserve"> completed </w:t>
      </w:r>
      <w:r w:rsidR="00B67011" w:rsidRPr="00B67011">
        <w:rPr>
          <w:sz w:val="24"/>
          <w:szCs w:val="24"/>
        </w:rPr>
        <w:t>by the Commission</w:t>
      </w:r>
      <w:r w:rsidR="00124AF2">
        <w:rPr>
          <w:sz w:val="24"/>
          <w:szCs w:val="24"/>
        </w:rPr>
        <w:t xml:space="preserve"> </w:t>
      </w:r>
      <w:r w:rsidR="00216944" w:rsidRPr="00B67011">
        <w:rPr>
          <w:sz w:val="24"/>
          <w:szCs w:val="24"/>
        </w:rPr>
        <w:t>(there is obviously no need to report on them).</w:t>
      </w:r>
      <w:r w:rsidR="00216944">
        <w:rPr>
          <w:sz w:val="24"/>
          <w:szCs w:val="24"/>
        </w:rPr>
        <w:t xml:space="preserve"> </w:t>
      </w:r>
    </w:p>
    <w:p w:rsidR="006E41FD" w:rsidRDefault="005C7D21" w:rsidP="005C7D21">
      <w:pPr>
        <w:spacing w:after="0"/>
        <w:ind w:left="720" w:hanging="720"/>
        <w:jc w:val="both"/>
        <w:rPr>
          <w:sz w:val="24"/>
          <w:szCs w:val="24"/>
        </w:rPr>
      </w:pPr>
      <w:r w:rsidRPr="005C7D21">
        <w:rPr>
          <w:b/>
          <w:sz w:val="32"/>
          <w:szCs w:val="32"/>
          <w:vertAlign w:val="superscript"/>
        </w:rPr>
        <w:t>4</w:t>
      </w:r>
      <w:r w:rsidR="006E41FD" w:rsidRPr="005C7D21">
        <w:rPr>
          <w:sz w:val="32"/>
          <w:szCs w:val="32"/>
        </w:rPr>
        <w:t xml:space="preserve"> </w:t>
      </w:r>
      <w:r>
        <w:rPr>
          <w:sz w:val="24"/>
          <w:szCs w:val="24"/>
        </w:rPr>
        <w:tab/>
      </w:r>
      <w:r w:rsidR="006E41FD">
        <w:rPr>
          <w:sz w:val="24"/>
          <w:szCs w:val="24"/>
        </w:rPr>
        <w:t xml:space="preserve">Please indicate estimated amount needed to implement the recommendation as </w:t>
      </w:r>
      <w:r w:rsidR="00641271">
        <w:rPr>
          <w:sz w:val="24"/>
          <w:szCs w:val="24"/>
        </w:rPr>
        <w:t>required</w:t>
      </w:r>
      <w:r w:rsidR="006E41FD">
        <w:rPr>
          <w:sz w:val="24"/>
          <w:szCs w:val="24"/>
        </w:rPr>
        <w:t xml:space="preserve"> as well as the part that will be covered by EU Funds (where relevant indicate the specific a</w:t>
      </w:r>
      <w:r w:rsidR="00124AF2">
        <w:rPr>
          <w:sz w:val="24"/>
          <w:szCs w:val="24"/>
        </w:rPr>
        <w:t>ction in the national programme</w:t>
      </w:r>
      <w:r w:rsidR="00641271">
        <w:rPr>
          <w:sz w:val="24"/>
          <w:szCs w:val="24"/>
        </w:rPr>
        <w:t xml:space="preserve"> </w:t>
      </w:r>
      <w:r w:rsidR="006E41FD">
        <w:rPr>
          <w:sz w:val="24"/>
          <w:szCs w:val="24"/>
        </w:rPr>
        <w:t>/ union action project that will be used to implement the recommendation)</w:t>
      </w:r>
      <w:r w:rsidR="00C90178">
        <w:rPr>
          <w:sz w:val="24"/>
          <w:szCs w:val="24"/>
        </w:rPr>
        <w:t>.</w:t>
      </w:r>
      <w:bookmarkStart w:id="0" w:name="_GoBack"/>
      <w:bookmarkEnd w:id="0"/>
      <w:r w:rsidR="006E41FD">
        <w:rPr>
          <w:sz w:val="24"/>
          <w:szCs w:val="24"/>
        </w:rPr>
        <w:t xml:space="preserve"> </w:t>
      </w:r>
    </w:p>
    <w:sectPr w:rsidR="006E41FD" w:rsidSect="00572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28" w:rsidRDefault="001A3428" w:rsidP="00CD7960">
      <w:pPr>
        <w:spacing w:after="0" w:line="240" w:lineRule="auto"/>
      </w:pPr>
      <w:r>
        <w:separator/>
      </w:r>
    </w:p>
  </w:endnote>
  <w:endnote w:type="continuationSeparator" w:id="0">
    <w:p w:rsidR="001A3428" w:rsidRDefault="001A3428" w:rsidP="00CD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28" w:rsidRDefault="001A3428" w:rsidP="00CD7960">
      <w:pPr>
        <w:spacing w:after="0" w:line="240" w:lineRule="auto"/>
      </w:pPr>
      <w:r>
        <w:separator/>
      </w:r>
    </w:p>
  </w:footnote>
  <w:footnote w:type="continuationSeparator" w:id="0">
    <w:p w:rsidR="001A3428" w:rsidRDefault="001A3428" w:rsidP="00CD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720B0"/>
    <w:rsid w:val="00054255"/>
    <w:rsid w:val="000C183E"/>
    <w:rsid w:val="00124AF2"/>
    <w:rsid w:val="001A3428"/>
    <w:rsid w:val="001C611B"/>
    <w:rsid w:val="001D1439"/>
    <w:rsid w:val="00206384"/>
    <w:rsid w:val="00216944"/>
    <w:rsid w:val="002C4BB9"/>
    <w:rsid w:val="0039562D"/>
    <w:rsid w:val="003B7263"/>
    <w:rsid w:val="003E1B48"/>
    <w:rsid w:val="00400DAE"/>
    <w:rsid w:val="00442821"/>
    <w:rsid w:val="00502118"/>
    <w:rsid w:val="00561676"/>
    <w:rsid w:val="005720B0"/>
    <w:rsid w:val="005C7D21"/>
    <w:rsid w:val="005D3201"/>
    <w:rsid w:val="00641271"/>
    <w:rsid w:val="006A2163"/>
    <w:rsid w:val="006E41FD"/>
    <w:rsid w:val="007776DA"/>
    <w:rsid w:val="0082413D"/>
    <w:rsid w:val="00834C4A"/>
    <w:rsid w:val="008C10FE"/>
    <w:rsid w:val="00991464"/>
    <w:rsid w:val="00A01F8B"/>
    <w:rsid w:val="00A9398B"/>
    <w:rsid w:val="00B67011"/>
    <w:rsid w:val="00BE4267"/>
    <w:rsid w:val="00C90178"/>
    <w:rsid w:val="00CD16F3"/>
    <w:rsid w:val="00CD7960"/>
    <w:rsid w:val="00D037A4"/>
    <w:rsid w:val="00DE4846"/>
    <w:rsid w:val="00E41924"/>
    <w:rsid w:val="00E45820"/>
    <w:rsid w:val="00E66A5B"/>
    <w:rsid w:val="00E8431A"/>
    <w:rsid w:val="00EE1B38"/>
    <w:rsid w:val="00EF5872"/>
    <w:rsid w:val="00EF6020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D7CB"/>
  <w15:docId w15:val="{38FF8E8D-23BE-491F-A46C-631D5E7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60"/>
  </w:style>
  <w:style w:type="paragraph" w:styleId="Footer">
    <w:name w:val="footer"/>
    <w:basedOn w:val="Normal"/>
    <w:link w:val="FooterChar"/>
    <w:uiPriority w:val="99"/>
    <w:unhideWhenUsed/>
    <w:rsid w:val="00CD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60"/>
  </w:style>
  <w:style w:type="paragraph" w:styleId="BalloonText">
    <w:name w:val="Balloon Text"/>
    <w:basedOn w:val="Normal"/>
    <w:link w:val="BalloonTextChar"/>
    <w:uiPriority w:val="99"/>
    <w:semiHidden/>
    <w:unhideWhenUsed/>
    <w:rsid w:val="00E6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1649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VERGEER Eleonora (HOME)</dc:creator>
  <cp:lastModifiedBy>BIELIKOVA Bronislava (HOME)</cp:lastModifiedBy>
  <cp:revision>7</cp:revision>
  <dcterms:created xsi:type="dcterms:W3CDTF">2021-01-07T14:47:00Z</dcterms:created>
  <dcterms:modified xsi:type="dcterms:W3CDTF">2021-01-13T12:12:00Z</dcterms:modified>
</cp:coreProperties>
</file>